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Beachh</w:t>
            </w:r>
            <w:r>
              <w:rPr/>
              <w:t>andball</w:t>
            </w:r>
          </w:p>
        </w:tc>
      </w:tr>
    </w:tbl>
    <w:p>
      <w:pPr>
        <w:pStyle w:val="Wrap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Auch im Schuljahr 2019/2020 wird Beachhandball als Demonstrationswettbewerb in den Wettkampfklassen II und III angeboten. </w:t>
      </w:r>
      <w:r>
        <w:rPr/>
        <w:t>Interessierte Schulmannschaften werden gebeten, ihr Interesse rechtzeitig den zuständigen RB-Beauftragten mitzuteilen.</w:t>
      </w:r>
    </w:p>
    <w:p>
      <w:pPr>
        <w:pStyle w:val="Heading1"/>
        <w:numPr>
          <w:ilvl w:val="0"/>
          <w:numId w:val="1"/>
        </w:numPr>
        <w:rPr/>
      </w:pPr>
      <w:r>
        <w:rPr/>
        <w:t>Allgemeine Bestimmungen</w:t>
      </w:r>
    </w:p>
    <w:p>
      <w:pPr>
        <w:pStyle w:val="TextBody"/>
        <w:rPr/>
      </w:pPr>
      <w:r>
        <w:rPr/>
        <w:t>bzw. wie viele Felder zur Verfügung stehen. Die weiteren Regeln können der Handreichung des Deutschen Handballbundes DHB Beachhandball Allgemeine Regeln entnommen werden:</w:t>
        <w:br/>
      </w:r>
      <w:hyperlink r:id="rId2">
        <w:r>
          <w:rPr>
            <w:rStyle w:val="InternetLink"/>
          </w:rPr>
          <w:t>DHB Beachhandball Allgemeine Regeln</w:t>
        </w:r>
      </w:hyperlink>
      <w:r>
        <w:rPr/>
        <w:t xml:space="preserve"> </w:t>
      </w:r>
    </w:p>
    <w:p>
      <w:pPr>
        <w:pStyle w:val="TextBody"/>
        <w:rPr/>
      </w:pPr>
      <w:r>
        <w:rPr/>
        <w:t>sowie auf der Homepage des DHB unter:</w:t>
      </w:r>
    </w:p>
    <w:p>
      <w:pPr>
        <w:pStyle w:val="TextBody"/>
        <w:rPr/>
      </w:pPr>
      <w:hyperlink r:id="rId3">
        <w:r>
          <w:rPr>
            <w:rStyle w:val="InternetLink"/>
          </w:rPr>
          <w:t>https://dhb.de/beach/aktuell.html</w:t>
        </w:r>
      </w:hyperlink>
    </w:p>
    <w:p>
      <w:pPr>
        <w:pStyle w:val="TextBody"/>
        <w:rPr/>
      </w:pPr>
      <w:r>
        <w:rPr/>
        <w:t xml:space="preserve">Für Rückfragen wenden Sie sich an die </w:t>
      </w:r>
      <w:r>
        <w:rPr/>
        <w:t>zuständigen</w:t>
      </w:r>
      <w:r>
        <w:rPr/>
        <w:t xml:space="preserve"> </w:t>
      </w:r>
      <w:r>
        <w:fldChar w:fldCharType="begin"/>
      </w:r>
      <w:r>
        <w:rPr>
          <w:rStyle w:val="InternetLink"/>
        </w:rPr>
        <w:instrText> HYPERLINK "https://www.machmit-bw.de/jugend-trainiert/olympia/beachhandball"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RB-Beauftragten</w:t>
      </w:r>
      <w:r>
        <w:rPr>
          <w:rStyle w:val="InternetLink"/>
        </w:rPr>
        <w:fldChar w:fldCharType="end"/>
      </w:r>
      <w:r>
        <w:rPr/>
        <w:t>.</w:t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>
          <w:sz w:val="18"/>
          <w:szCs w:val="18"/>
        </w:rPr>
      </w:pPr>
      <w:r>
        <w:rPr>
          <w:sz w:val="18"/>
          <w:szCs w:val="18"/>
        </w:rPr>
        <w:t xml:space="preserve">Die aktuelle Version der Ausschreibung und die zugehörigen Meldeunterlagen finden Sie immer unter: </w:t>
      </w:r>
    </w:p>
    <w:p>
      <w:pPr>
        <w:pStyle w:val="Hinweis"/>
        <w:rPr/>
      </w:pPr>
      <w:hyperlink r:id="rId4">
        <w:r>
          <w:rPr>
            <w:rStyle w:val="InternetLink"/>
            <w:sz w:val="24"/>
            <w:szCs w:val="24"/>
          </w:rPr>
          <w:t>www.machmit-bw.de/jugend-trainiert/olympia/beachhandball</w:t>
        </w:r>
      </w:hyperlink>
    </w:p>
    <w:p>
      <w:pPr>
        <w:pStyle w:val="Heading2"/>
        <w:keepNext w:val="true"/>
        <w:pageBreakBefore w:val="fals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>
          <w:b/>
          <w:b/>
          <w:bCs/>
        </w:rPr>
      </w:pPr>
      <w:r>
        <w:rPr>
          <w:b/>
          <w:bCs/>
        </w:rPr>
        <w:t xml:space="preserve">Meldeschluss: </w:t>
      </w:r>
      <w:r>
        <w:rPr>
          <w:b/>
          <w:bCs/>
          <w:color w:val="CE181E"/>
        </w:rPr>
        <w:t>25. Januar 2020</w:t>
      </w:r>
    </w:p>
    <w:p>
      <w:pPr>
        <w:pStyle w:val="Hinweis"/>
        <w:rPr/>
      </w:pPr>
      <w:r>
        <w:rPr/>
        <w:t xml:space="preserve">Mannschaftsmeldungen erfolgen grundsätzlich an die zuständigen </w:t>
      </w:r>
      <w:r>
        <w:fldChar w:fldCharType="begin"/>
      </w:r>
      <w:r>
        <w:rPr>
          <w:rStyle w:val="InternetLink"/>
        </w:rPr>
        <w:instrText> HYPERLINK "https://mm1920-dev.didaktum.de/jugend-trainiert/olympia/beachhandball"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Beauftragten</w:t>
      </w:r>
      <w:r>
        <w:rPr>
          <w:rStyle w:val="InternetLink"/>
        </w:rPr>
        <w:fldChar w:fldCharType="end"/>
      </w:r>
      <w:r>
        <w:rPr/>
        <w:t xml:space="preserve"> der untersten Austragungsebene eines Wettkampfs.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2835"/>
        <w:gridCol w:w="5096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RB-Entscheide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ZEITRAUM noch nicht bekannt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Regierungsbezirken: noch nicht bekannt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16. Juli 2020</w:t>
            </w:r>
          </w:p>
        </w:tc>
        <w:tc>
          <w:tcPr>
            <w:tcW w:w="5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Glaspalast Sindelfingen</w:t>
            </w:r>
          </w:p>
        </w:tc>
      </w:tr>
    </w:tbl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1698"/>
        <w:gridCol w:w="2554"/>
        <w:gridCol w:w="1980"/>
        <w:gridCol w:w="1699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</w:tbl>
    <w:p>
      <w:pPr>
        <w:pStyle w:val="TextBody"/>
        <w:spacing w:before="0" w:after="96"/>
        <w:rPr/>
      </w:pPr>
      <w:r>
        <w:rPr/>
      </w:r>
    </w:p>
    <w:sectPr>
      <w:headerReference w:type="first" r:id="rId5"/>
      <w:footerReference w:type="default" r:id="rId6"/>
      <w:footerReference w:type="first" r:id="rId8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  <w:drawing>
              <wp:anchor behindDoc="0" distT="0" distB="0" distL="0" distR="0" simplePos="0" locked="0" layoutInCell="1" allowOverlap="1" relativeHeight="0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360045" cy="360045"/>
                <wp:effectExtent l="0" t="0" r="0" b="0"/>
                <wp:wrapSquare wrapText="largest"/>
                <wp:docPr id="1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Handball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2018/19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AHEAD"/>
      <w:spacing w:before="57" w:after="57"/>
      <w:rPr>
        <w:sz w:val="16"/>
        <w:szCs w:val="16"/>
      </w:rPr>
    </w:pPr>
    <w:r>
      <w:rPr>
        <w:sz w:val="16"/>
        <w:szCs w:val="16"/>
      </w:rPr>
      <w:t>BeachHandball</w:t>
    </w:r>
    <w:r>
      <w:rPr>
        <w:sz w:val="16"/>
        <w:szCs w:val="16"/>
      </w:rPr>
      <w:t xml:space="preserve"> – </w:t>
    </w:r>
    <w:r>
      <w:rPr>
        <w:sz w:val="16"/>
        <w:szCs w:val="16"/>
      </w:rPr>
      <w:t>2021/22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chmit-bw.de/files/ausschreibungen/info/17-Regeln_Beachhandball_DHB.pdf" TargetMode="External"/><Relationship Id="rId3" Type="http://schemas.openxmlformats.org/officeDocument/2006/relationships/hyperlink" Target="https://dhb.de/beach/aktuell.html" TargetMode="External"/><Relationship Id="rId4" Type="http://schemas.openxmlformats.org/officeDocument/2006/relationships/hyperlink" Target="http://www.machmit-bw.de/jugend-trainiert/olympia/beachhandbal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file:///Users/SAM/JOB/MACH-MIT/0-MM-ONLINE/0-MM-2122/Ausschreibungen/PIKTS/BHB.svg" TargetMode="Externa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2623</TotalTime>
  <Application>LibreOffice/6.0.5.2$MacOSX_X86_64 LibreOffice_project/54c8cbb85f300ac59db32fe8a675ff7683cd5a16</Application>
  <Pages>1</Pages>
  <Words>203</Words>
  <Characters>1347</Characters>
  <CharactersWithSpaces>1514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2021-07-19T08:01:37Z</dcterms:modified>
  <cp:revision>83</cp:revision>
  <dc:subject/>
  <dc:title/>
</cp:coreProperties>
</file>