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Tennis</w:t>
            </w:r>
          </w:p>
        </w:tc>
      </w:tr>
    </w:tbl>
    <w:p>
      <w:pPr>
        <w:pStyle w:val="Wrap"/>
        <w:rPr/>
      </w:pPr>
      <w:r>
        <w:rPr/>
      </w:r>
    </w:p>
    <w:p>
      <w:pPr>
        <w:pStyle w:val="Heading1"/>
        <w:numPr>
          <w:ilvl w:val="0"/>
          <w:numId w:val="1"/>
        </w:numPr>
        <w:rPr/>
      </w:pPr>
      <w:r>
        <w:rPr/>
        <w:t>Allgemeine Bestimmungen</w:t>
      </w:r>
    </w:p>
    <w:p>
      <w:pPr>
        <w:pStyle w:val="TextBody"/>
        <w:rPr/>
      </w:pPr>
      <w:r>
        <w:rPr/>
        <w:t xml:space="preserve">Gespielt wird nach den Regeln des Deutschen Tennisbundes (Bezugsquelle: Organisationsheft DTB, Deutscher Tennisbund, Hallerstr. 89, 20149 Hamburg). </w:t>
      </w:r>
    </w:p>
    <w:p>
      <w:pPr>
        <w:pStyle w:val="TextBody"/>
        <w:rPr/>
      </w:pPr>
      <w:r>
        <w:rPr/>
        <w:t>Jedes Wettspiel entscheidet der Gewinn von 2 Sätzen. Ansonsten gilt, von den in der Ausschreibung ausgeführten Ausnahmen abgesehen, die Wettspielordnung des BTV bzw. WTB.</w:t>
      </w:r>
    </w:p>
    <w:p>
      <w:pPr>
        <w:pStyle w:val="Heading1"/>
        <w:numPr>
          <w:ilvl w:val="0"/>
          <w:numId w:val="1"/>
        </w:numPr>
        <w:rPr/>
      </w:pPr>
      <w:r>
        <w:rPr/>
        <w:t>Austragungsmodus</w:t>
      </w:r>
    </w:p>
    <w:p>
      <w:pPr>
        <w:pStyle w:val="Heading3"/>
        <w:numPr>
          <w:ilvl w:val="2"/>
          <w:numId w:val="1"/>
        </w:numPr>
        <w:rPr/>
      </w:pPr>
      <w:r>
        <w:rPr/>
        <w:t xml:space="preserve">Unsere Veranstaltungen stehen unter dem Motto „Fairplay“. </w:t>
        <w:br/>
        <w:t>Bitte denken Sie daran, wenn Sie die Mannschaften nach der „Spielstärke“ aufstellen.</w:t>
      </w:r>
    </w:p>
    <w:p>
      <w:pPr>
        <w:pStyle w:val="TextBody"/>
        <w:numPr>
          <w:ilvl w:val="0"/>
          <w:numId w:val="2"/>
        </w:numPr>
        <w:rPr/>
      </w:pPr>
      <w:r>
        <w:rPr/>
        <w:t xml:space="preserve">Eine Mannschaft besteht in WK I / WK II und WK IV (Großfeld) aus mindestens 4, höchstens </w:t>
      </w:r>
      <w:r>
        <w:rPr>
          <w:b/>
          <w:bCs/>
        </w:rPr>
        <w:t xml:space="preserve">7 </w:t>
      </w:r>
      <w:r>
        <w:rPr/>
        <w:t>Spielern, gespielt werden 4 Einzel- und 2 Doppelspiele. Im WK IV können Spieler(-innen) beliebigen Geschlechts eingesetzt werden („frei“).</w:t>
      </w:r>
    </w:p>
    <w:p>
      <w:pPr>
        <w:pStyle w:val="TextBody"/>
        <w:numPr>
          <w:ilvl w:val="0"/>
          <w:numId w:val="2"/>
        </w:numPr>
        <w:rPr/>
      </w:pPr>
      <w:r>
        <w:rPr/>
        <w:t>Der/die an Nummer 1 aufgestellte Spieler/Spielerinnen muss im ersten Doppel eingesetzt werden (Bestimmung in der Ausschreibung des Bundesfinales).</w:t>
      </w:r>
    </w:p>
    <w:p>
      <w:pPr>
        <w:pStyle w:val="TextBody"/>
        <w:numPr>
          <w:ilvl w:val="0"/>
          <w:numId w:val="2"/>
        </w:numPr>
        <w:rPr/>
      </w:pPr>
      <w:r>
        <w:rPr/>
        <w:t>Die namentliche Mannschaftsmeldung ist für alle kommenden Wettbewerbe bis einschließlich Landesfinale verbindlich (Ausnahme s. 2.6). Auf der Meldeliste müssen die Vor- und Nachnamen aller Spielerinnen und Spieler (sowie der Ersatzspieler), ihre ID-Nummern sowie das jeweilige Geburtsdatum korrekt aufgeführt sein. Für die Doppel erhalten die Spieler ebenfalls die Platzziffern 1 bis 4.</w:t>
      </w:r>
    </w:p>
    <w:p>
      <w:pPr>
        <w:pStyle w:val="TextBody"/>
        <w:numPr>
          <w:ilvl w:val="0"/>
          <w:numId w:val="2"/>
        </w:numPr>
        <w:rPr/>
      </w:pPr>
      <w:r>
        <w:rPr/>
        <w:t>Meldet eine Schule mehr als 1 Mannschaft in einer Wettkampfklasse, so müssen die Teams hinsichtlich Spielstärke durchnummeriert werden. Mannschaft 1 ist als spielstärkste auszuweisen.</w:t>
      </w:r>
    </w:p>
    <w:p>
      <w:pPr>
        <w:pStyle w:val="TextBody"/>
        <w:numPr>
          <w:ilvl w:val="0"/>
          <w:numId w:val="2"/>
        </w:numPr>
        <w:rPr/>
      </w:pPr>
      <w:r>
        <w:rPr/>
        <w:t>Für den Wettkampf WK III (Landes- und Bundeswettbewerb) gilt beim Landesfinale folgendes:</w:t>
        <w:br/>
        <w:t>Eine Mannschaft besteht aus mindestens 5, höchstens 6 Spielern. 5 Spieler müssen während eines Wettkampfes eingesetzt werden.</w:t>
        <w:br/>
        <w:t xml:space="preserve">In einer Mannschaft sind die 5 Spieler und der Ersatzspieler der Spielstärke nach aufzustellen. </w:t>
        <w:br/>
        <w:t>Für die Doppel erhalten die Spieler ebenfalls die Platzziffern 1 bis 4. Der fünfte Spieler muss im Doppel eingesetzt werden.</w:t>
        <w:br/>
        <w:br/>
      </w:r>
      <w:r>
        <w:rPr>
          <w:b/>
          <w:bCs/>
        </w:rPr>
        <w:t xml:space="preserve">Ausnahmen: </w:t>
      </w:r>
      <w:r>
        <w:rPr/>
        <w:t xml:space="preserve">Aus wirtschaftlichen Gründen werden die Vorrunden einschließlich RB-Finale mit mindestens vier Spielern ausgespielt. </w:t>
      </w:r>
    </w:p>
    <w:p>
      <w:pPr>
        <w:pStyle w:val="TextBody"/>
        <w:numPr>
          <w:ilvl w:val="0"/>
          <w:numId w:val="2"/>
        </w:numPr>
        <w:rPr/>
      </w:pPr>
      <w:r>
        <w:rPr/>
        <w:t>Jeder Spieler darf auf einer Wettkampfebene (z. B. Kreisebene bzw. 1. Spielrunde) nur in einer Wettkampfklasse starten. Er kann erst dann in eine andere Mannschaft überwechseln, wenn seine ursprüngliche Mannschaft ausgeschieden ist oder auf eine weitere Teilnahme verzichtet und wenn es die Altersbegrenzung zulässt.</w:t>
      </w:r>
    </w:p>
    <w:p>
      <w:pPr>
        <w:pStyle w:val="TextBody"/>
        <w:numPr>
          <w:ilvl w:val="0"/>
          <w:numId w:val="2"/>
        </w:numPr>
        <w:rPr/>
      </w:pPr>
      <w:r>
        <w:rPr/>
        <w:t>Abiturienten sind nicht spielberechtigt, ebenso Schüler von Abschlussklassen, deren Entlassung vor dem Landesfinale liegt.</w:t>
      </w:r>
    </w:p>
    <w:p>
      <w:pPr>
        <w:pStyle w:val="TextBody"/>
        <w:numPr>
          <w:ilvl w:val="0"/>
          <w:numId w:val="2"/>
        </w:numPr>
        <w:rPr/>
      </w:pPr>
      <w:r>
        <w:rPr/>
        <w:t>Eine Änderung der Mannschaftsaufstellung muss umgehend in schriftlicher Form beim RB-Beauftragten beantragt werden. Unterbleibt die Benachrichtigung, kann die Änderung der Mannschaftsaufstellung nicht erfolgen.</w:t>
      </w:r>
    </w:p>
    <w:p>
      <w:pPr>
        <w:pStyle w:val="TextBody"/>
        <w:numPr>
          <w:ilvl w:val="0"/>
          <w:numId w:val="2"/>
        </w:numPr>
        <w:rPr/>
      </w:pPr>
      <w:r>
        <w:rPr/>
        <w:t>Ein Setzen von Mannschaften kann vom Schiedsgericht genehmigt werden.</w:t>
      </w:r>
    </w:p>
    <w:p>
      <w:pPr>
        <w:pStyle w:val="TextBody"/>
        <w:numPr>
          <w:ilvl w:val="0"/>
          <w:numId w:val="2"/>
        </w:numPr>
        <w:rPr/>
      </w:pPr>
      <w:r>
        <w:rPr/>
        <w:t xml:space="preserve">Es werden in allen Altersklassen 2 Gewinnsätze bis 6 gespielt; ggf. entscheidet der Tiebreak. </w:t>
        <w:br/>
        <w:t>Der 3. Satz wird als Match-Tiebreak (bis 10) ausgespielt.</w:t>
      </w:r>
    </w:p>
    <w:p>
      <w:pPr>
        <w:pStyle w:val="TextBody"/>
        <w:numPr>
          <w:ilvl w:val="0"/>
          <w:numId w:val="2"/>
        </w:numPr>
        <w:rPr/>
      </w:pPr>
      <w:r>
        <w:rPr>
          <w:b/>
          <w:bCs/>
        </w:rPr>
        <w:t>Entscheidungen:</w:t>
        <w:br/>
      </w:r>
      <w:r>
        <w:rPr/>
        <w:t>Jedes gewonnene Einzel und Doppel wird mit einem Punkt für das Gesamtergebnis gewertet. Hat jede Mannschaft nach Abschluss der Begegnung gleich viele Punkte gewonnen (3:3), so wird die Entscheidung nach folgenden Kriterien in nachstehender Reihenfolge herbeigeführt:</w:t>
      </w:r>
    </w:p>
    <w:p>
      <w:pPr>
        <w:pStyle w:val="TextBody"/>
        <w:numPr>
          <w:ilvl w:val="0"/>
          <w:numId w:val="5"/>
        </w:numPr>
        <w:rPr/>
      </w:pPr>
      <w:r>
        <w:rPr/>
        <w:t>Anzahl der gewonnenen Sätze</w:t>
      </w:r>
    </w:p>
    <w:p>
      <w:pPr>
        <w:pStyle w:val="TextBody"/>
        <w:numPr>
          <w:ilvl w:val="0"/>
          <w:numId w:val="5"/>
        </w:numPr>
        <w:rPr/>
      </w:pPr>
      <w:r>
        <w:rPr/>
        <w:t>bei gleicher Anzahl der gewonnenen Sätze gilt die Anzahl der gewonnenen Spiele in allen Sätzen</w:t>
      </w:r>
    </w:p>
    <w:p>
      <w:pPr>
        <w:pStyle w:val="TextBody"/>
        <w:numPr>
          <w:ilvl w:val="0"/>
          <w:numId w:val="5"/>
        </w:numPr>
        <w:rPr/>
      </w:pPr>
      <w:r>
        <w:rPr/>
        <w:t>Ist auch diese Anzahl für beide Mannschaften gleich, entscheidet der Sieg im 2. Doppel.</w:t>
      </w:r>
    </w:p>
    <w:p>
      <w:pPr>
        <w:pStyle w:val="TextBody"/>
        <w:numPr>
          <w:ilvl w:val="0"/>
          <w:numId w:val="2"/>
        </w:numPr>
        <w:rPr/>
      </w:pPr>
      <w:r>
        <w:rPr/>
        <w:t>Kann eine Begegnung im Freien gar nicht oder nicht zu Ende gespielt werden, so kann grundsätzlich in eine Halle ausgewichen werden, sofern keine Kosten anfallen und die entsprechenden Hallenschuhe vorhanden sind.</w:t>
      </w:r>
    </w:p>
    <w:p>
      <w:pPr>
        <w:pStyle w:val="TextBody"/>
        <w:numPr>
          <w:ilvl w:val="0"/>
          <w:numId w:val="2"/>
        </w:numPr>
        <w:rPr/>
      </w:pPr>
      <w:r>
        <w:rPr/>
        <w:t xml:space="preserve">Die zuerst genannte Mannschaft hat Heimrecht. </w:t>
        <w:br/>
      </w:r>
      <w:r>
        <w:rPr>
          <w:b/>
          <w:bCs/>
        </w:rPr>
        <w:t xml:space="preserve">Ausnahme: </w:t>
      </w:r>
      <w:r>
        <w:rPr/>
        <w:t>Hat eine Mannschaft 2 Auswärtsspiele hintereinander, erhält sie automatisch im darauffolgenden Spiel das Heimspielrecht.</w:t>
      </w:r>
    </w:p>
    <w:p>
      <w:pPr>
        <w:pStyle w:val="Heading1"/>
        <w:numPr>
          <w:ilvl w:val="0"/>
          <w:numId w:val="1"/>
        </w:numPr>
        <w:rPr/>
      </w:pPr>
      <w:r>
        <w:rPr/>
        <w:t>Schiedsgericht</w:t>
      </w:r>
    </w:p>
    <w:p>
      <w:pPr>
        <w:pStyle w:val="TextBody"/>
        <w:rPr/>
      </w:pPr>
      <w:r>
        <w:rPr/>
        <w:t>Proteste und Betrugsversuche müssen auf R</w:t>
      </w:r>
      <w:r>
        <w:rPr/>
        <w:t>B</w:t>
      </w:r>
      <w:r>
        <w:rPr/>
        <w:t>-Ebene sofort in schriftlicher Form über die Schulleitung an den jeweiligen R</w:t>
      </w:r>
      <w:r>
        <w:rPr/>
        <w:t>B</w:t>
      </w:r>
      <w:r>
        <w:rPr/>
        <w:t xml:space="preserve">-Beauftragten versandt werden (auf Landesebene umgehend an den Landesbeauftragten) und werden dann an das LIS weitergeleitet. Über Proteste und Betrugsversuche entscheidet ein Schiedsgericht. Das Schiedsgericht setzt sich zusammen aus dem Landesbeauftragten, dem jeweiligen RP-Beauftragten und einem Vertreter des </w:t>
      </w:r>
      <w:r>
        <w:rPr/>
        <w:t xml:space="preserve">LIS in Absprache mit dem </w:t>
      </w:r>
      <w:r>
        <w:rPr/>
        <w:t>Kultusministerium</w:t>
      </w:r>
      <w:r>
        <w:rPr/>
        <w:t>.</w:t>
      </w:r>
    </w:p>
    <w:p>
      <w:pPr>
        <w:pStyle w:val="Heading1"/>
        <w:numPr>
          <w:ilvl w:val="0"/>
          <w:numId w:val="1"/>
        </w:numPr>
        <w:rPr/>
      </w:pPr>
      <w:r>
        <w:rPr/>
        <w:t>Qualifikation</w:t>
      </w:r>
    </w:p>
    <w:p>
      <w:pPr>
        <w:pStyle w:val="TextBody"/>
        <w:rPr/>
      </w:pPr>
      <w:r>
        <w:rPr/>
        <w:t xml:space="preserve">Die </w:t>
      </w:r>
      <w:r>
        <w:rPr/>
        <w:t>Wettkämpfe</w:t>
      </w:r>
      <w:r>
        <w:rPr/>
        <w:t xml:space="preserve"> in den Wettkampfklassen I /II und IV (Jungen und Mädchen), sowie </w:t>
      </w:r>
      <w:r>
        <w:rPr/>
        <w:t>WK V (Grundschulen)</w:t>
      </w:r>
      <w:r>
        <w:rPr/>
        <w:t xml:space="preserve"> </w:t>
      </w:r>
      <w:r>
        <w:rPr/>
        <w:t>werden bis zum Landesfinale durchgeführt. Für das Landesfinale sind jeweils die R</w:t>
      </w:r>
      <w:r>
        <w:rPr/>
        <w:t>B</w:t>
      </w:r>
      <w:r>
        <w:rPr/>
        <w:t xml:space="preserve">-Meister qualifiziert. Der </w:t>
      </w:r>
      <w:r>
        <w:rPr/>
        <w:t>Wettkampf</w:t>
      </w:r>
      <w:r>
        <w:rPr/>
        <w:t xml:space="preserve"> in der Wettkampfklasse WK III (Jungen und Mädchen) wird bis zum Bundesfinale durchgeführt. </w:t>
        <w:br/>
        <w:t>Die Ergebnisse der Landes- und des Bundesfinals zählen für die deutsche Jugendrangliste, falls sie gemäß der Wettspielordnung durchgeführt werden.</w:t>
      </w:r>
    </w:p>
    <w:p>
      <w:pPr>
        <w:pStyle w:val="Heading1"/>
        <w:numPr>
          <w:ilvl w:val="0"/>
          <w:numId w:val="1"/>
        </w:numPr>
        <w:rPr/>
      </w:pPr>
      <w:r>
        <w:rPr/>
        <w:t>Hinweis</w:t>
      </w:r>
    </w:p>
    <w:p>
      <w:pPr>
        <w:pStyle w:val="TextBody"/>
        <w:rPr/>
      </w:pPr>
      <w:r>
        <w:rPr/>
        <w:t>Auf allen Wettkampfebenen muss jede Mannschaft von einer Lehrkraft bzw. einem volljährigen Schülermentor oder von einer durch die Schulleitung beauftragten volljährigen Person betreut werden.</w:t>
      </w:r>
    </w:p>
    <w:p>
      <w:pPr>
        <w:pStyle w:val="Heading1"/>
        <w:numPr>
          <w:ilvl w:val="0"/>
          <w:numId w:val="0"/>
        </w:numPr>
        <w:rPr/>
      </w:pPr>
      <w:r>
        <w:rPr/>
      </w:r>
      <w:r>
        <w:br w:type="page"/>
      </w:r>
    </w:p>
    <w:p>
      <w:pPr>
        <w:pStyle w:val="Heading1"/>
        <w:numPr>
          <w:ilvl w:val="0"/>
          <w:numId w:val="1"/>
        </w:numPr>
        <w:rPr/>
      </w:pPr>
      <w:r>
        <w:rPr/>
        <w:t>Kleinfeldtennis</w:t>
      </w:r>
    </w:p>
    <w:p>
      <w:pPr>
        <w:pStyle w:val="TextBody"/>
        <w:rPr/>
      </w:pPr>
      <w:r>
        <w:rPr/>
        <w:t>Vorgesehen sind Runden auf Kreis-, R</w:t>
      </w:r>
      <w:r>
        <w:rPr/>
        <w:t>B</w:t>
      </w:r>
      <w:r>
        <w:rPr/>
        <w:t xml:space="preserve">- und Landesebene. Diese Spiele können in Sporthallen oder im Freien ausgetragen werden. Gemischte Mannschaften sind möglich. </w:t>
      </w:r>
    </w:p>
    <w:p>
      <w:pPr>
        <w:pStyle w:val="TextBody"/>
        <w:rPr/>
      </w:pPr>
      <w:r>
        <w:rPr/>
        <w:t>Nähere Auskünfte über Termine und Meldungen erfahren Sie über die Beauftragten für Kleinfeldtennis.</w:t>
      </w:r>
    </w:p>
    <w:p>
      <w:pPr>
        <w:pStyle w:val="Heading2"/>
        <w:numPr>
          <w:ilvl w:val="1"/>
          <w:numId w:val="1"/>
        </w:numPr>
        <w:ind w:left="-283" w:right="0" w:hanging="0"/>
        <w:rPr/>
      </w:pPr>
      <w:r>
        <w:rPr/>
        <w:t>Ausschreibung für die Schulwettkämpfe „Kleinfeldtennis”</w:t>
      </w:r>
    </w:p>
    <w:p>
      <w:pPr>
        <w:pStyle w:val="TextBody"/>
        <w:numPr>
          <w:ilvl w:val="0"/>
          <w:numId w:val="3"/>
        </w:numPr>
        <w:rPr/>
      </w:pPr>
      <w:r>
        <w:rPr/>
        <w:t xml:space="preserve">Über die </w:t>
      </w:r>
      <w:r>
        <w:rPr>
          <w:b/>
          <w:bCs/>
        </w:rPr>
        <w:t>Bälle</w:t>
      </w:r>
      <w:r>
        <w:rPr/>
        <w:t xml:space="preserve"> entscheidet der Beauftragte. </w:t>
        <w:br/>
        <w:t>Im Landesfinale wird mit druckreduzierten Bällen (75% langsamere Bälle) gespielt.</w:t>
      </w:r>
    </w:p>
    <w:p>
      <w:pPr>
        <w:pStyle w:val="TextBody"/>
        <w:numPr>
          <w:ilvl w:val="0"/>
          <w:numId w:val="3"/>
        </w:numPr>
        <w:rPr/>
      </w:pPr>
      <w:r>
        <w:rPr>
          <w:b/>
          <w:bCs/>
        </w:rPr>
        <w:t xml:space="preserve">Netz: </w:t>
      </w:r>
      <w:r>
        <w:rPr/>
        <w:t>Kleinfeldtennisnetz, Badmintonnetz, Baustellenband</w:t>
      </w:r>
    </w:p>
    <w:p>
      <w:pPr>
        <w:pStyle w:val="TextBody"/>
        <w:numPr>
          <w:ilvl w:val="0"/>
          <w:numId w:val="3"/>
        </w:numPr>
        <w:rPr/>
      </w:pPr>
      <w:r>
        <w:rPr>
          <w:b/>
          <w:bCs/>
        </w:rPr>
        <w:t xml:space="preserve">Spielfeld und Maße: </w:t>
      </w:r>
      <w:r>
        <w:rPr/>
        <w:t>Länge ca. 10 m, Breite ca. 6 m; Richtet sich nach der vorhandenen Spielfeldmarkierung, empfohlen sind Badmintonfelder. Netzhöhe/Bandhöhe: ca. 80 cm. Eine Mittellinie (für Aufschlag) kann längs eingezeichnet werden.</w:t>
      </w:r>
    </w:p>
    <w:p>
      <w:pPr>
        <w:pStyle w:val="TextBody"/>
        <w:numPr>
          <w:ilvl w:val="0"/>
          <w:numId w:val="3"/>
        </w:numPr>
        <w:rPr/>
      </w:pPr>
      <w:r>
        <w:rPr>
          <w:b/>
          <w:bCs/>
        </w:rPr>
        <w:t xml:space="preserve">Regeln: </w:t>
      </w:r>
      <w:r>
        <w:rPr/>
        <w:t>siehe Kleinfeldtennisregeln des BTV und WTB</w:t>
      </w:r>
    </w:p>
    <w:p>
      <w:pPr>
        <w:pStyle w:val="TextBody"/>
        <w:numPr>
          <w:ilvl w:val="0"/>
          <w:numId w:val="0"/>
        </w:numPr>
        <w:ind w:left="283" w:hanging="0"/>
        <w:rPr/>
      </w:pPr>
      <w:r>
        <w:rPr>
          <w:b/>
          <w:bCs/>
        </w:rPr>
        <w:t xml:space="preserve">Aufschlag: </w:t>
      </w:r>
      <w:r>
        <w:rPr/>
        <w:t>Der Aufschlag wird bei Spielbeginn ausgelost. Ein Spieler hat jeweils 2 Aufschläge, einen von rechts und einen von links, dann erfolgt Aufschlagwechsel. Beim Aufschlag befindet sich der Aufschläger außerhalb des Feldes hinter der Linie. Jeder Spieler hat zwei Aufschlagversuche von unten (aus der Hand). Der Aufschlag hat diagonal zu erfolgen. Nach dem Aufschlag wird der Punkt ausgespielt.</w:t>
        <w:br/>
        <w:t>Davon abweichende Regeln sind möglich. Sie müssen aber vor Wettkampfbeginn vom Obmann in Absprache mit den Betreuern eindeutig festgelegt werden.</w:t>
      </w:r>
    </w:p>
    <w:p>
      <w:pPr>
        <w:pStyle w:val="TextBody"/>
        <w:numPr>
          <w:ilvl w:val="0"/>
          <w:numId w:val="3"/>
        </w:numPr>
        <w:rPr/>
      </w:pPr>
      <w:r>
        <w:rPr>
          <w:b/>
          <w:bCs/>
        </w:rPr>
        <w:t xml:space="preserve">Zählweise: </w:t>
      </w:r>
      <w:r>
        <w:rPr/>
        <w:t>Gezählt wird nach Einzelpunkten von 0, 1, 2, 3, ... bis zum Schlusssignal.</w:t>
        <w:br/>
        <w:t>Der zu diesem Zeitpunkt erreichte Spielstand zählt. Bei unentschiedenem Spielstand wird noch ein Punkt ausgespielt.</w:t>
      </w:r>
    </w:p>
    <w:p>
      <w:pPr>
        <w:pStyle w:val="TextBody"/>
        <w:numPr>
          <w:ilvl w:val="0"/>
          <w:numId w:val="3"/>
        </w:numPr>
        <w:rPr/>
      </w:pPr>
      <w:r>
        <w:rPr>
          <w:b/>
          <w:bCs/>
        </w:rPr>
        <w:t xml:space="preserve">Spielzeit: </w:t>
      </w:r>
      <w:r>
        <w:rPr/>
        <w:t>Gespielt wird nach Zeit (Empfehlung: 6 bis 12 Minuten)</w:t>
      </w:r>
    </w:p>
    <w:p>
      <w:pPr>
        <w:pStyle w:val="TextBody"/>
        <w:numPr>
          <w:ilvl w:val="0"/>
          <w:numId w:val="3"/>
        </w:numPr>
        <w:rPr/>
      </w:pPr>
      <w:r>
        <w:rPr>
          <w:b/>
          <w:bCs/>
        </w:rPr>
        <w:t xml:space="preserve">Mannschaften: </w:t>
      </w:r>
      <w:r>
        <w:rPr/>
        <w:t>In einer Mannschaft spielen mindestens 4 Schüler/innen (evtl. auch gemischt).</w:t>
        <w:br/>
        <w:t>Gespielt werden 4 Einzel und 2 Doppel. Eine Schule kann mehrere Mannschaften melden.</w:t>
      </w:r>
    </w:p>
    <w:p>
      <w:pPr>
        <w:pStyle w:val="Heading1"/>
        <w:numPr>
          <w:ilvl w:val="0"/>
          <w:numId w:val="1"/>
        </w:numPr>
        <w:rPr/>
      </w:pPr>
      <w:r>
        <w:rPr/>
        <w:t>Termine, Wettkampfangebot und Beauftragte im Schuljahr 20</w:t>
      </w:r>
      <w:r>
        <w:rPr/>
        <w:t>21/2022</w:t>
      </w:r>
    </w:p>
    <w:p>
      <w:pPr>
        <w:pStyle w:val="Hinweis"/>
        <w:pageBreakBefore w:val="false"/>
        <w:rPr/>
      </w:pPr>
      <w:r>
        <w:rPr>
          <w:sz w:val="18"/>
          <w:szCs w:val="18"/>
        </w:rPr>
        <w:t>Die aktuelle Version der Ausschreibung und die zugehörigen Meldeunterlagen finden Sie immer unter:</w:t>
      </w:r>
      <w:r>
        <w:rPr/>
        <w:t xml:space="preserve"> </w:t>
      </w:r>
    </w:p>
    <w:p>
      <w:pPr>
        <w:pStyle w:val="Hinweis"/>
        <w:rPr/>
      </w:pPr>
      <w:hyperlink r:id="rId2">
        <w:r>
          <w:rPr>
            <w:rStyle w:val="InternetLink"/>
            <w:sz w:val="24"/>
            <w:szCs w:val="24"/>
          </w:rPr>
          <w:t>www.machmit-bw.de/jugend-trainiert/olympia/tennis</w:t>
        </w:r>
      </w:hyperlink>
    </w:p>
    <w:p>
      <w:pPr>
        <w:pStyle w:val="Heading2"/>
        <w:numPr>
          <w:ilvl w:val="0"/>
          <w:numId w:val="0"/>
        </w:numPr>
        <w:ind w:left="-283" w:right="0" w:hanging="0"/>
        <w:rPr>
          <w:rFonts w:eastAsia="Arial Unicode MS" w:cs="Arial Unicode MS"/>
          <w:b/>
          <w:b/>
          <w:bCs/>
          <w:szCs w:val="28"/>
        </w:rPr>
      </w:pPr>
      <w:r>
        <w:rPr>
          <w:rFonts w:eastAsia="Arial Unicode MS" w:cs="Arial Unicode MS"/>
          <w:b/>
          <w:bCs/>
          <w:szCs w:val="28"/>
        </w:rPr>
      </w:r>
      <w:r>
        <w:br w:type="page"/>
      </w:r>
    </w:p>
    <w:p>
      <w:pPr>
        <w:pStyle w:val="Heading2"/>
        <w:numPr>
          <w:ilvl w:val="0"/>
          <w:numId w:val="0"/>
        </w:numPr>
        <w:ind w:left="-283" w:right="0" w:hanging="0"/>
        <w:rPr/>
      </w:pPr>
      <w:r>
        <w:rPr/>
        <w:t>Termine</w:t>
      </w:r>
    </w:p>
    <w:p>
      <w:pPr>
        <w:pStyle w:val="Heading3"/>
        <w:numPr>
          <w:ilvl w:val="2"/>
          <w:numId w:val="1"/>
        </w:numPr>
        <w:rPr/>
      </w:pPr>
      <w:r>
        <w:rPr/>
        <w:t>Meldeschluss</w:t>
      </w:r>
    </w:p>
    <w:p>
      <w:pPr>
        <w:pStyle w:val="TextBody"/>
        <w:rPr>
          <w:b/>
          <w:b/>
          <w:bCs/>
          <w:color w:val="CE181E"/>
        </w:rPr>
      </w:pPr>
      <w:r>
        <w:rPr>
          <w:b/>
          <w:bCs/>
          <w:color w:val="CE181E"/>
        </w:rPr>
        <w:t xml:space="preserve">Samstag, </w:t>
      </w:r>
      <w:r>
        <w:rPr>
          <w:b/>
          <w:bCs/>
          <w:color w:val="CE181E"/>
        </w:rPr>
        <w:t>04</w:t>
      </w:r>
      <w:r>
        <w:rPr>
          <w:b/>
          <w:bCs/>
          <w:color w:val="CE181E"/>
        </w:rPr>
        <w:t>. April 2020, 23.59 Uhr</w:t>
      </w:r>
    </w:p>
    <w:p>
      <w:pPr>
        <w:pStyle w:val="Heading3"/>
        <w:numPr>
          <w:ilvl w:val="2"/>
          <w:numId w:val="1"/>
        </w:numPr>
        <w:rPr/>
      </w:pPr>
      <w:r>
        <w:rPr/>
        <w:t>Austragungstermine</w:t>
      </w:r>
    </w:p>
    <w:tbl>
      <w:tblPr>
        <w:tblW w:w="10206" w:type="dxa"/>
        <w:jc w:val="left"/>
        <w:tblInd w:w="0" w:type="dxa"/>
        <w:tblBorders>
          <w:top w:val="single" w:sz="2" w:space="0" w:color="000000"/>
          <w:left w:val="single" w:sz="2" w:space="0" w:color="000000"/>
          <w:bottom w:val="single" w:sz="2" w:space="0" w:color="000000"/>
          <w:insideH w:val="single" w:sz="2" w:space="0" w:color="000000"/>
        </w:tblBorders>
        <w:tblCellMar>
          <w:top w:w="28" w:type="dxa"/>
          <w:left w:w="27" w:type="dxa"/>
          <w:bottom w:w="28" w:type="dxa"/>
          <w:right w:w="28" w:type="dxa"/>
        </w:tblCellMar>
      </w:tblPr>
      <w:tblGrid>
        <w:gridCol w:w="3398"/>
        <w:gridCol w:w="2835"/>
        <w:gridCol w:w="3973"/>
      </w:tblGrid>
      <w:tr>
        <w:trPr/>
        <w:tc>
          <w:tcPr>
            <w:tcW w:w="3398"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WK I bis WK IV – Großfeldtennis</w:t>
            </w:r>
          </w:p>
        </w:tc>
        <w:tc>
          <w:tcPr>
            <w:tcW w:w="680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sz w:val="18"/>
                <w:szCs w:val="18"/>
              </w:rPr>
            </w:pPr>
            <w:r>
              <w:rPr>
                <w:color w:val="CE181E"/>
                <w:sz w:val="18"/>
                <w:szCs w:val="18"/>
              </w:rPr>
              <w:t>Ab Ende April 2020</w:t>
            </w:r>
          </w:p>
        </w:tc>
      </w:tr>
      <w:tr>
        <w:trPr/>
        <w:tc>
          <w:tcPr>
            <w:tcW w:w="33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WK V – Kleinfeldtennis</w:t>
            </w:r>
          </w:p>
        </w:tc>
        <w:tc>
          <w:tcPr>
            <w:tcW w:w="6808"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sz w:val="18"/>
                <w:szCs w:val="18"/>
              </w:rPr>
            </w:pPr>
            <w:r>
              <w:rPr>
                <w:color w:val="CE181E"/>
                <w:sz w:val="18"/>
                <w:szCs w:val="18"/>
              </w:rPr>
              <w:t>Spieltermine werden über die Beauftragten für Kleinfeldtennis bekannt gegeben.</w:t>
            </w:r>
          </w:p>
        </w:tc>
      </w:tr>
      <w:tr>
        <w:trPr/>
        <w:tc>
          <w:tcPr>
            <w:tcW w:w="33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Landesfinale WK I/II</w:t>
            </w:r>
          </w:p>
        </w:tc>
        <w:tc>
          <w:tcPr>
            <w:tcW w:w="283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color w:val="CE181E"/>
                <w:sz w:val="18"/>
                <w:szCs w:val="18"/>
              </w:rPr>
            </w:pPr>
            <w:r>
              <w:rPr>
                <w:color w:val="CE181E"/>
                <w:sz w:val="18"/>
                <w:szCs w:val="18"/>
              </w:rPr>
              <w:t>15</w:t>
            </w:r>
            <w:r>
              <w:rPr>
                <w:color w:val="CE181E"/>
                <w:sz w:val="18"/>
                <w:szCs w:val="18"/>
              </w:rPr>
              <w:t xml:space="preserve">. </w:t>
            </w:r>
            <w:r>
              <w:rPr>
                <w:color w:val="CE181E"/>
                <w:sz w:val="18"/>
                <w:szCs w:val="18"/>
              </w:rPr>
              <w:t>+ 16</w:t>
            </w:r>
            <w:r>
              <w:rPr>
                <w:color w:val="CE181E"/>
                <w:sz w:val="18"/>
                <w:szCs w:val="18"/>
              </w:rPr>
              <w:t>. Juli 2020</w:t>
            </w:r>
          </w:p>
        </w:tc>
        <w:tc>
          <w:tcPr>
            <w:tcW w:w="39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sz w:val="18"/>
                <w:szCs w:val="18"/>
              </w:rPr>
            </w:pPr>
            <w:r>
              <w:rPr>
                <w:color w:val="CE181E"/>
                <w:sz w:val="18"/>
                <w:szCs w:val="18"/>
              </w:rPr>
              <w:t xml:space="preserve">in </w:t>
            </w:r>
            <w:r>
              <w:rPr>
                <w:color w:val="CE181E"/>
                <w:sz w:val="18"/>
                <w:szCs w:val="18"/>
              </w:rPr>
              <w:t>Sindelfingen</w:t>
            </w:r>
          </w:p>
        </w:tc>
      </w:tr>
      <w:tr>
        <w:trPr/>
        <w:tc>
          <w:tcPr>
            <w:tcW w:w="33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Landesfinale WK III</w:t>
            </w:r>
          </w:p>
        </w:tc>
        <w:tc>
          <w:tcPr>
            <w:tcW w:w="283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color w:val="CE181E"/>
                <w:sz w:val="18"/>
                <w:szCs w:val="18"/>
              </w:rPr>
            </w:pPr>
            <w:r>
              <w:rPr>
                <w:color w:val="CE181E"/>
                <w:sz w:val="18"/>
                <w:szCs w:val="18"/>
              </w:rPr>
              <w:t xml:space="preserve">15. </w:t>
            </w:r>
            <w:r>
              <w:rPr>
                <w:color w:val="CE181E"/>
                <w:sz w:val="18"/>
                <w:szCs w:val="18"/>
              </w:rPr>
              <w:t xml:space="preserve">+ </w:t>
            </w:r>
            <w:r>
              <w:rPr>
                <w:color w:val="CE181E"/>
                <w:sz w:val="18"/>
                <w:szCs w:val="18"/>
              </w:rPr>
              <w:t>16. Juli 2020</w:t>
            </w:r>
          </w:p>
        </w:tc>
        <w:tc>
          <w:tcPr>
            <w:tcW w:w="39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sz w:val="18"/>
                <w:szCs w:val="18"/>
              </w:rPr>
            </w:pPr>
            <w:r>
              <w:rPr>
                <w:color w:val="CE181E"/>
                <w:sz w:val="18"/>
                <w:szCs w:val="18"/>
              </w:rPr>
              <w:t xml:space="preserve">in </w:t>
            </w:r>
            <w:r>
              <w:rPr>
                <w:color w:val="CE181E"/>
                <w:sz w:val="18"/>
                <w:szCs w:val="18"/>
              </w:rPr>
              <w:t>Sindelfingen</w:t>
            </w:r>
          </w:p>
        </w:tc>
      </w:tr>
      <w:tr>
        <w:trPr/>
        <w:tc>
          <w:tcPr>
            <w:tcW w:w="33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Landesfinale WK IV</w:t>
            </w:r>
          </w:p>
        </w:tc>
        <w:tc>
          <w:tcPr>
            <w:tcW w:w="283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color w:val="CE181E"/>
                <w:sz w:val="18"/>
                <w:szCs w:val="18"/>
              </w:rPr>
            </w:pPr>
            <w:r>
              <w:rPr>
                <w:color w:val="CE181E"/>
                <w:sz w:val="18"/>
                <w:szCs w:val="18"/>
              </w:rPr>
              <w:t xml:space="preserve">15. </w:t>
            </w:r>
            <w:r>
              <w:rPr>
                <w:color w:val="CE181E"/>
                <w:sz w:val="18"/>
                <w:szCs w:val="18"/>
              </w:rPr>
              <w:t xml:space="preserve">+ </w:t>
            </w:r>
            <w:r>
              <w:rPr>
                <w:color w:val="CE181E"/>
                <w:sz w:val="18"/>
                <w:szCs w:val="18"/>
              </w:rPr>
              <w:t>16. Juli 2020</w:t>
            </w:r>
          </w:p>
        </w:tc>
        <w:tc>
          <w:tcPr>
            <w:tcW w:w="39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sz w:val="18"/>
                <w:szCs w:val="18"/>
              </w:rPr>
            </w:pPr>
            <w:r>
              <w:rPr>
                <w:color w:val="CE181E"/>
                <w:sz w:val="18"/>
                <w:szCs w:val="18"/>
              </w:rPr>
              <w:t xml:space="preserve">in </w:t>
            </w:r>
            <w:r>
              <w:rPr>
                <w:color w:val="CE181E"/>
                <w:sz w:val="18"/>
                <w:szCs w:val="18"/>
              </w:rPr>
              <w:t>Sindelfingen</w:t>
            </w:r>
          </w:p>
        </w:tc>
      </w:tr>
      <w:tr>
        <w:trPr/>
        <w:tc>
          <w:tcPr>
            <w:tcW w:w="33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 xml:space="preserve">WK V </w:t>
              <w:br/>
              <w:t>BW-Grundschulfinale Kleinfeldtennis</w:t>
            </w:r>
          </w:p>
        </w:tc>
        <w:tc>
          <w:tcPr>
            <w:tcW w:w="283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color w:val="CE181E"/>
                <w:sz w:val="18"/>
                <w:szCs w:val="18"/>
              </w:rPr>
            </w:pPr>
            <w:r>
              <w:rPr>
                <w:color w:val="CE181E"/>
                <w:sz w:val="18"/>
                <w:szCs w:val="18"/>
              </w:rPr>
              <w:t xml:space="preserve">voraussichtlich </w:t>
            </w:r>
            <w:r>
              <w:rPr>
                <w:color w:val="CE181E"/>
                <w:sz w:val="18"/>
                <w:szCs w:val="18"/>
              </w:rPr>
              <w:t>Ende</w:t>
            </w:r>
            <w:r>
              <w:rPr>
                <w:color w:val="CE181E"/>
                <w:sz w:val="18"/>
                <w:szCs w:val="18"/>
              </w:rPr>
              <w:t xml:space="preserve"> Juni 2020</w:t>
            </w:r>
          </w:p>
        </w:tc>
        <w:tc>
          <w:tcPr>
            <w:tcW w:w="39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sz w:val="18"/>
                <w:szCs w:val="18"/>
              </w:rPr>
            </w:pPr>
            <w:r>
              <w:rPr>
                <w:color w:val="CE181E"/>
                <w:sz w:val="18"/>
                <w:szCs w:val="18"/>
              </w:rPr>
              <w:t>In Ettlingen</w:t>
            </w:r>
          </w:p>
        </w:tc>
      </w:tr>
      <w:tr>
        <w:trPr/>
        <w:tc>
          <w:tcPr>
            <w:tcW w:w="33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Bundesfinale</w:t>
            </w:r>
          </w:p>
        </w:tc>
        <w:tc>
          <w:tcPr>
            <w:tcW w:w="283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rPr>
            </w:pPr>
            <w:r>
              <w:rPr>
                <w:sz w:val="18"/>
                <w:szCs w:val="18"/>
              </w:rPr>
              <w:t>13</w:t>
            </w:r>
            <w:r>
              <w:rPr>
                <w:sz w:val="18"/>
                <w:szCs w:val="18"/>
              </w:rPr>
              <w:t xml:space="preserve">. bis </w:t>
            </w:r>
            <w:r>
              <w:rPr>
                <w:sz w:val="18"/>
                <w:szCs w:val="18"/>
              </w:rPr>
              <w:t>17</w:t>
            </w:r>
            <w:r>
              <w:rPr>
                <w:sz w:val="18"/>
                <w:szCs w:val="18"/>
              </w:rPr>
              <w:t>. September 202</w:t>
            </w:r>
            <w:r>
              <w:rPr>
                <w:sz w:val="18"/>
                <w:szCs w:val="18"/>
              </w:rPr>
              <w:t>2</w:t>
            </w:r>
          </w:p>
        </w:tc>
        <w:tc>
          <w:tcPr>
            <w:tcW w:w="39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sz w:val="18"/>
                <w:szCs w:val="18"/>
              </w:rPr>
            </w:pPr>
            <w:r>
              <w:rPr>
                <w:sz w:val="18"/>
                <w:szCs w:val="18"/>
              </w:rPr>
              <w:t>Herbstfinale in Berlin</w:t>
            </w:r>
          </w:p>
        </w:tc>
      </w:tr>
    </w:tbl>
    <w:p>
      <w:pPr>
        <w:pStyle w:val="TextBody"/>
        <w:numPr>
          <w:ilvl w:val="0"/>
          <w:numId w:val="0"/>
        </w:numPr>
        <w:outlineLvl w:val="1"/>
        <w:rPr>
          <w:rFonts w:eastAsia="Arial Unicode MS" w:cs="Arial Unicode MS"/>
          <w:b/>
          <w:b/>
          <w:bCs/>
          <w:szCs w:val="28"/>
        </w:rPr>
      </w:pPr>
      <w:r>
        <w:rPr>
          <w:rFonts w:eastAsia="Arial Unicode MS" w:cs="Arial Unicode MS"/>
          <w:b/>
          <w:bCs/>
          <w:szCs w:val="28"/>
        </w:rPr>
      </w:r>
    </w:p>
    <w:p>
      <w:pPr>
        <w:pStyle w:val="Heading2"/>
        <w:numPr>
          <w:ilvl w:val="1"/>
          <w:numId w:val="1"/>
        </w:numPr>
        <w:ind w:left="-283" w:right="0" w:hanging="0"/>
        <w:rPr/>
      </w:pPr>
      <w:r>
        <w:rPr/>
        <w:t>Wettkämpfe</w:t>
      </w:r>
    </w:p>
    <w:tbl>
      <w:tblPr>
        <w:tblW w:w="10204"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6" w:type="dxa"/>
          <w:bottom w:w="57" w:type="dxa"/>
          <w:right w:w="57" w:type="dxa"/>
        </w:tblCellMar>
      </w:tblPr>
      <w:tblGrid>
        <w:gridCol w:w="2273"/>
        <w:gridCol w:w="1698"/>
        <w:gridCol w:w="2262"/>
        <w:gridCol w:w="2272"/>
        <w:gridCol w:w="1699"/>
      </w:tblGrid>
      <w:tr>
        <w:trPr>
          <w:tblHeader w:val="true"/>
        </w:trPr>
        <w:tc>
          <w:tcPr>
            <w:tcW w:w="227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rPr>
                <w:b/>
                <w:b/>
                <w:bCs/>
              </w:rPr>
            </w:pPr>
            <w:r>
              <w:rPr>
                <w:b/>
                <w:bCs/>
              </w:rPr>
              <w:t>Wettkampf</w:t>
            </w:r>
          </w:p>
        </w:tc>
        <w:tc>
          <w:tcPr>
            <w:tcW w:w="1698"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Jahrgänge</w:t>
              <w:br/>
              <w:t>max. – min.</w:t>
            </w:r>
          </w:p>
        </w:tc>
        <w:tc>
          <w:tcPr>
            <w:tcW w:w="2262"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Schularten</w:t>
            </w:r>
          </w:p>
        </w:tc>
        <w:tc>
          <w:tcPr>
            <w:tcW w:w="2272"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Austragungsebenen</w:t>
              <w:br/>
              <w:t>von – bis</w:t>
            </w:r>
          </w:p>
        </w:tc>
        <w:tc>
          <w:tcPr>
            <w:tcW w:w="169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uppressLineNumbers/>
              <w:pBdr/>
              <w:bidi w:val="0"/>
              <w:spacing w:before="57" w:after="57"/>
              <w:jc w:val="left"/>
              <w:rPr/>
            </w:pPr>
            <w:r>
              <w:rPr/>
              <w:t>Info zu Wettkampf</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 Jungen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2001</w:t>
            </w:r>
            <w:r>
              <w:rPr>
                <w:highlight w:val="yellow"/>
              </w:rPr>
              <w:t xml:space="preserve"> – offen</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BS, GYM, GMS, RS, WS, HS</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2001</w:t>
            </w:r>
            <w:r>
              <w:rPr>
                <w:highlight w:val="yellow"/>
              </w:rPr>
              <w:t xml:space="preserve"> – offen</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BS, GYM, GMS, RS, WS, HS</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 Jungen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7</w:t>
            </w:r>
            <w:r>
              <w:rPr>
                <w:highlight w:val="yellow"/>
              </w:rPr>
              <w:t xml:space="preserve"> – 20</w:t>
            </w:r>
            <w:r>
              <w:rPr>
                <w:highlight w:val="yellow"/>
              </w:rPr>
              <w:t>10</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7</w:t>
            </w:r>
            <w:r>
              <w:rPr>
                <w:highlight w:val="yellow"/>
              </w:rPr>
              <w:t xml:space="preserve"> – 20</w:t>
            </w:r>
            <w:r>
              <w:rPr>
                <w:highlight w:val="yellow"/>
              </w:rPr>
              <w:t>10</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IV -- Frei</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9</w:t>
            </w:r>
            <w:r>
              <w:rPr>
                <w:highlight w:val="yellow"/>
              </w:rPr>
              <w:t xml:space="preserve"> – offen</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V -- Frei</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Kl. 4 – Kl. 1</w:t>
            </w:r>
          </w:p>
        </w:tc>
        <w:tc>
          <w:tcPr>
            <w:tcW w:w="226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GS, SBBZ</w:t>
            </w:r>
          </w:p>
        </w:tc>
        <w:tc>
          <w:tcPr>
            <w:tcW w:w="2272"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bl>
    <w:p>
      <w:pPr>
        <w:pStyle w:val="TextBody"/>
        <w:numPr>
          <w:ilvl w:val="0"/>
          <w:numId w:val="0"/>
        </w:numPr>
        <w:spacing w:before="0" w:after="96"/>
        <w:outlineLvl w:val="1"/>
        <w:rPr>
          <w:rFonts w:eastAsia="Arial Unicode MS" w:cs="Arial Unicode MS"/>
          <w:b/>
          <w:b/>
          <w:bCs/>
          <w:szCs w:val="28"/>
        </w:rPr>
      </w:pPr>
      <w:r>
        <w:rPr>
          <w:rFonts w:eastAsia="Arial Unicode MS" w:cs="Arial Unicode MS"/>
          <w:b/>
          <w:bCs/>
          <w:szCs w:val="28"/>
        </w:rPr>
      </w:r>
    </w:p>
    <w:sectPr>
      <w:headerReference w:type="first" r:id="rId3"/>
      <w:footerReference w:type="default" r:id="rId4"/>
      <w:type w:val="nextPage"/>
      <w:pgSz w:w="11906" w:h="16838"/>
      <w:pgMar w:left="850" w:right="850" w:header="0" w:top="850" w:footer="680" w:bottom="153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Thorndale">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Tennis</w:t>
          </w:r>
          <w:r>
            <w:rPr>
              <w:sz w:val="16"/>
              <w:szCs w:val="16"/>
            </w:rPr>
            <w:t xml:space="preserve"> –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3</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rPr>
        <w:sz w:val="34"/>
        <w:szCs w:val="3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decimal"/>
      <w:lvlText w:val="%1."/>
      <w:lvlJc w:val="right"/>
      <w:pPr>
        <w:tabs>
          <w:tab w:val="num" w:pos="397"/>
        </w:tabs>
        <w:ind w:left="397" w:hanging="397"/>
      </w:pPr>
      <w:rPr/>
    </w:lvl>
    <w:lvl w:ilvl="1">
      <w:start w:val="1"/>
      <w:numFmt w:val="decimal"/>
      <w:lvlText w:val="%2."/>
      <w:lvlJc w:val="left"/>
      <w:pPr>
        <w:tabs>
          <w:tab w:val="num" w:pos="397"/>
        </w:tabs>
        <w:ind w:left="754" w:hanging="187"/>
      </w:pPr>
      <w:rPr/>
    </w:lvl>
    <w:lvl w:ilvl="2">
      <w:start w:val="1"/>
      <w:numFmt w:val="decimal"/>
      <w:lvlText w:val="%3."/>
      <w:lvlJc w:val="left"/>
      <w:pPr>
        <w:tabs>
          <w:tab w:val="num" w:pos="1191"/>
        </w:tabs>
        <w:ind w:left="1548" w:hanging="397"/>
      </w:pPr>
      <w:rPr/>
    </w:lvl>
    <w:lvl w:ilvl="3">
      <w:start w:val="1"/>
      <w:numFmt w:val="decimal"/>
      <w:lvlText w:val="%4."/>
      <w:lvlJc w:val="left"/>
      <w:pPr>
        <w:tabs>
          <w:tab w:val="num" w:pos="1588"/>
        </w:tabs>
        <w:ind w:left="1945" w:hanging="397"/>
      </w:pPr>
      <w:rPr/>
    </w:lvl>
    <w:lvl w:ilvl="4">
      <w:start w:val="1"/>
      <w:numFmt w:val="decimal"/>
      <w:lvlText w:val="%5."/>
      <w:lvlJc w:val="left"/>
      <w:pPr>
        <w:tabs>
          <w:tab w:val="num" w:pos="1985"/>
        </w:tabs>
        <w:ind w:left="2342" w:hanging="397"/>
      </w:pPr>
      <w:rPr/>
    </w:lvl>
    <w:lvl w:ilvl="5">
      <w:start w:val="1"/>
      <w:numFmt w:val="decimal"/>
      <w:lvlText w:val="%6."/>
      <w:lvlJc w:val="left"/>
      <w:pPr>
        <w:tabs>
          <w:tab w:val="num" w:pos="2381"/>
        </w:tabs>
        <w:ind w:left="2738" w:hanging="397"/>
      </w:pPr>
      <w:rPr/>
    </w:lvl>
    <w:lvl w:ilvl="6">
      <w:start w:val="1"/>
      <w:numFmt w:val="decimal"/>
      <w:lvlText w:val="%7."/>
      <w:lvlJc w:val="left"/>
      <w:pPr>
        <w:tabs>
          <w:tab w:val="num" w:pos="2778"/>
        </w:tabs>
        <w:ind w:left="3135" w:hanging="397"/>
      </w:pPr>
      <w:rPr/>
    </w:lvl>
    <w:lvl w:ilvl="7">
      <w:start w:val="1"/>
      <w:numFmt w:val="decimal"/>
      <w:lvlText w:val="%8."/>
      <w:lvlJc w:val="left"/>
      <w:pPr>
        <w:tabs>
          <w:tab w:val="num" w:pos="3175"/>
        </w:tabs>
        <w:ind w:left="3532" w:hanging="397"/>
      </w:pPr>
      <w:rPr/>
    </w:lvl>
    <w:lvl w:ilvl="8">
      <w:start w:val="1"/>
      <w:numFmt w:val="decimal"/>
      <w:lvlText w:val="%9."/>
      <w:lvlJc w:val="left"/>
      <w:pPr>
        <w:tabs>
          <w:tab w:val="num" w:pos="3572"/>
        </w:tabs>
        <w:ind w:left="3929" w:hanging="397"/>
      </w:pPr>
      <w:rPr/>
    </w:lvl>
  </w:abstractNum>
  <w:abstractNum w:abstractNumId="3">
    <w:lvl w:ilvl="0">
      <w:start w:val="1"/>
      <w:numFmt w:val="upperLetter"/>
      <w:lvlText w:val="%1: "/>
      <w:lvlJc w:val="left"/>
      <w:pPr>
        <w:tabs>
          <w:tab w:val="num" w:pos="283"/>
        </w:tabs>
        <w:ind w:left="283" w:hanging="283"/>
      </w:pPr>
      <w:rPr/>
    </w:lvl>
    <w:lvl w:ilvl="1">
      <w:start w:val="2"/>
      <w:numFmt w:val="upperLetter"/>
      <w:lvlText w:val="%2: "/>
      <w:lvlJc w:val="left"/>
      <w:pPr>
        <w:tabs>
          <w:tab w:val="num" w:pos="566"/>
        </w:tabs>
        <w:ind w:left="566" w:hanging="283"/>
      </w:pPr>
      <w:rPr/>
    </w:lvl>
    <w:lvl w:ilvl="2">
      <w:start w:val="3"/>
      <w:numFmt w:val="upperLetter"/>
      <w:lvlText w:val="%3: "/>
      <w:lvlJc w:val="left"/>
      <w:pPr>
        <w:tabs>
          <w:tab w:val="num" w:pos="1133"/>
        </w:tabs>
        <w:ind w:left="1133" w:hanging="567"/>
      </w:pPr>
      <w:rPr/>
    </w:lvl>
    <w:lvl w:ilvl="3">
      <w:start w:val="4"/>
      <w:numFmt w:val="upperLetter"/>
      <w:lvlText w:val="%4: "/>
      <w:lvlJc w:val="left"/>
      <w:pPr>
        <w:tabs>
          <w:tab w:val="num" w:pos="1842"/>
        </w:tabs>
        <w:ind w:left="1842" w:hanging="709"/>
      </w:pPr>
      <w:rPr/>
    </w:lvl>
    <w:lvl w:ilvl="4">
      <w:start w:val="5"/>
      <w:numFmt w:val="upperLetter"/>
      <w:lvlText w:val="%5: "/>
      <w:lvlJc w:val="left"/>
      <w:pPr>
        <w:tabs>
          <w:tab w:val="num" w:pos="2692"/>
        </w:tabs>
        <w:ind w:left="2692" w:hanging="850"/>
      </w:pPr>
      <w:rPr/>
    </w:lvl>
    <w:lvl w:ilvl="5">
      <w:start w:val="6"/>
      <w:numFmt w:val="upperLetter"/>
      <w:lvlText w:val="%6: "/>
      <w:lvlJc w:val="left"/>
      <w:pPr>
        <w:tabs>
          <w:tab w:val="num" w:pos="3713"/>
        </w:tabs>
        <w:ind w:left="3713" w:hanging="1021"/>
      </w:pPr>
      <w:rPr/>
    </w:lvl>
    <w:lvl w:ilvl="6">
      <w:start w:val="7"/>
      <w:numFmt w:val="upperLetter"/>
      <w:lvlText w:val="%7: "/>
      <w:lvlJc w:val="left"/>
      <w:pPr>
        <w:tabs>
          <w:tab w:val="num" w:pos="5017"/>
        </w:tabs>
        <w:ind w:left="5017" w:hanging="1304"/>
      </w:pPr>
      <w:rPr/>
    </w:lvl>
    <w:lvl w:ilvl="7">
      <w:start w:val="8"/>
      <w:numFmt w:val="upperLetter"/>
      <w:lvlText w:val="%8: "/>
      <w:lvlJc w:val="left"/>
      <w:pPr>
        <w:tabs>
          <w:tab w:val="num" w:pos="6491"/>
        </w:tabs>
        <w:ind w:left="6491" w:hanging="1474"/>
      </w:pPr>
      <w:rPr/>
    </w:lvl>
    <w:lvl w:ilvl="8">
      <w:start w:val="9"/>
      <w:numFmt w:val="upperLetter"/>
      <w:lvlText w:val="%9: "/>
      <w:lvlJc w:val="left"/>
      <w:pPr>
        <w:tabs>
          <w:tab w:val="num" w:pos="8079"/>
        </w:tabs>
        <w:ind w:left="8079" w:hanging="1588"/>
      </w:pPr>
      <w:rPr/>
    </w:lvl>
  </w:abstractNum>
  <w:abstractNum w:abstractNumId="4">
    <w:lvl w:ilvl="0">
      <w:start w:val="1"/>
      <w:numFmt w:val="upperLetter"/>
      <w:lvlText w:val="%1:"/>
      <w:lvlJc w:val="left"/>
      <w:pPr>
        <w:tabs>
          <w:tab w:val="num" w:pos="1134"/>
        </w:tabs>
        <w:ind w:left="720" w:hanging="153"/>
      </w:pPr>
    </w:lvl>
    <w:lvl w:ilvl="1">
      <w:start w:val="1"/>
      <w:numFmt w:val="upperLetter"/>
      <w:lvlText w:val="%2:"/>
      <w:lvlJc w:val="left"/>
      <w:pPr>
        <w:tabs>
          <w:tab w:val="num" w:pos="1134"/>
        </w:tabs>
        <w:ind w:left="1080" w:hanging="513"/>
      </w:pPr>
    </w:lvl>
    <w:lvl w:ilvl="2">
      <w:start w:val="1"/>
      <w:numFmt w:val="upperLetter"/>
      <w:lvlText w:val="%3:"/>
      <w:lvlJc w:val="left"/>
      <w:pPr>
        <w:tabs>
          <w:tab w:val="num" w:pos="1134"/>
        </w:tabs>
        <w:ind w:left="1440" w:hanging="873"/>
      </w:pPr>
    </w:lvl>
    <w:lvl w:ilvl="3">
      <w:start w:val="1"/>
      <w:numFmt w:val="upperLetter"/>
      <w:lvlText w:val="%4:"/>
      <w:lvlJc w:val="left"/>
      <w:pPr>
        <w:tabs>
          <w:tab w:val="num" w:pos="1134"/>
        </w:tabs>
        <w:ind w:left="1800" w:hanging="1233"/>
      </w:pPr>
    </w:lvl>
    <w:lvl w:ilvl="4">
      <w:start w:val="1"/>
      <w:numFmt w:val="upperLetter"/>
      <w:lvlText w:val="%5:"/>
      <w:lvlJc w:val="left"/>
      <w:pPr>
        <w:tabs>
          <w:tab w:val="num" w:pos="1134"/>
        </w:tabs>
        <w:ind w:left="2160" w:hanging="1593"/>
      </w:pPr>
    </w:lvl>
    <w:lvl w:ilvl="5">
      <w:start w:val="1"/>
      <w:numFmt w:val="upperLetter"/>
      <w:lvlText w:val="%6:"/>
      <w:lvlJc w:val="left"/>
      <w:pPr>
        <w:tabs>
          <w:tab w:val="num" w:pos="1134"/>
        </w:tabs>
        <w:ind w:left="2520" w:hanging="1953"/>
      </w:pPr>
    </w:lvl>
    <w:lvl w:ilvl="6">
      <w:start w:val="1"/>
      <w:numFmt w:val="upperLetter"/>
      <w:lvlText w:val="%7:"/>
      <w:lvlJc w:val="left"/>
      <w:pPr>
        <w:tabs>
          <w:tab w:val="num" w:pos="1134"/>
        </w:tabs>
        <w:ind w:left="2880" w:hanging="2313"/>
      </w:pPr>
    </w:lvl>
    <w:lvl w:ilvl="7">
      <w:start w:val="1"/>
      <w:numFmt w:val="upperLetter"/>
      <w:lvlText w:val="%8:"/>
      <w:lvlJc w:val="left"/>
      <w:pPr>
        <w:tabs>
          <w:tab w:val="num" w:pos="1134"/>
        </w:tabs>
        <w:ind w:left="3240" w:hanging="2673"/>
      </w:pPr>
    </w:lvl>
    <w:lvl w:ilvl="8">
      <w:start w:val="1"/>
      <w:numFmt w:val="upperLetter"/>
      <w:lvlText w:val="%9:"/>
      <w:lvlJc w:val="left"/>
      <w:pPr>
        <w:tabs>
          <w:tab w:val="num" w:pos="1134"/>
        </w:tabs>
        <w:ind w:left="3600" w:hanging="3033"/>
      </w:pPr>
    </w:lvl>
  </w:abstractNum>
  <w:abstractNum w:abstractNumId="5">
    <w:lvl w:ilvl="0">
      <w:start w:val="1"/>
      <w:numFmt w:val="upperLetter"/>
      <w:lvlText w:val="%1:"/>
      <w:lvlJc w:val="left"/>
      <w:pPr>
        <w:tabs>
          <w:tab w:val="num" w:pos="1134"/>
        </w:tabs>
        <w:ind w:left="720" w:hanging="153"/>
      </w:pPr>
    </w:lvl>
    <w:lvl w:ilvl="1">
      <w:start w:val="1"/>
      <w:numFmt w:val="upperLetter"/>
      <w:lvlText w:val="%2:"/>
      <w:lvlJc w:val="left"/>
      <w:pPr>
        <w:tabs>
          <w:tab w:val="num" w:pos="1134"/>
        </w:tabs>
        <w:ind w:left="1080" w:hanging="513"/>
      </w:pPr>
    </w:lvl>
    <w:lvl w:ilvl="2">
      <w:start w:val="1"/>
      <w:numFmt w:val="upperLetter"/>
      <w:lvlText w:val="%3:"/>
      <w:lvlJc w:val="left"/>
      <w:pPr>
        <w:tabs>
          <w:tab w:val="num" w:pos="1134"/>
        </w:tabs>
        <w:ind w:left="1440" w:hanging="873"/>
      </w:pPr>
    </w:lvl>
    <w:lvl w:ilvl="3">
      <w:start w:val="1"/>
      <w:numFmt w:val="upperLetter"/>
      <w:lvlText w:val="%4:"/>
      <w:lvlJc w:val="left"/>
      <w:pPr>
        <w:tabs>
          <w:tab w:val="num" w:pos="1134"/>
        </w:tabs>
        <w:ind w:left="1800" w:hanging="1233"/>
      </w:pPr>
    </w:lvl>
    <w:lvl w:ilvl="4">
      <w:start w:val="1"/>
      <w:numFmt w:val="upperLetter"/>
      <w:lvlText w:val="%5:"/>
      <w:lvlJc w:val="left"/>
      <w:pPr>
        <w:tabs>
          <w:tab w:val="num" w:pos="1134"/>
        </w:tabs>
        <w:ind w:left="2160" w:hanging="1593"/>
      </w:pPr>
    </w:lvl>
    <w:lvl w:ilvl="5">
      <w:start w:val="1"/>
      <w:numFmt w:val="upperLetter"/>
      <w:lvlText w:val="%6:"/>
      <w:lvlJc w:val="left"/>
      <w:pPr>
        <w:tabs>
          <w:tab w:val="num" w:pos="1134"/>
        </w:tabs>
        <w:ind w:left="2520" w:hanging="1953"/>
      </w:pPr>
    </w:lvl>
    <w:lvl w:ilvl="6">
      <w:start w:val="1"/>
      <w:numFmt w:val="upperLetter"/>
      <w:lvlText w:val="%7:"/>
      <w:lvlJc w:val="left"/>
      <w:pPr>
        <w:tabs>
          <w:tab w:val="num" w:pos="1134"/>
        </w:tabs>
        <w:ind w:left="2880" w:hanging="2313"/>
      </w:pPr>
    </w:lvl>
    <w:lvl w:ilvl="7">
      <w:start w:val="1"/>
      <w:numFmt w:val="upperLetter"/>
      <w:lvlText w:val="%8:"/>
      <w:lvlJc w:val="left"/>
      <w:pPr>
        <w:tabs>
          <w:tab w:val="num" w:pos="1134"/>
        </w:tabs>
        <w:ind w:left="3240" w:hanging="2673"/>
      </w:pPr>
    </w:lvl>
    <w:lvl w:ilvl="8">
      <w:start w:val="1"/>
      <w:numFmt w:val="upperLetter"/>
      <w:lvlText w:val="%9:"/>
      <w:lvlJc w:val="left"/>
      <w:pPr>
        <w:tabs>
          <w:tab w:val="num" w:pos="1134"/>
        </w:tabs>
        <w:ind w:left="3600" w:hanging="3033"/>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val="false"/>
      <w:bCs/>
      <w:color w:val="00090F"/>
      <w:sz w:val="21"/>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bCs/>
      <w:color w:val="00090F"/>
      <w:sz w:val="16"/>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paragraph" w:styleId="Heading10">
    <w:name w:val="Heading 10"/>
    <w:basedOn w:val="Heading"/>
    <w:next w:val="TextBody"/>
    <w:qFormat/>
    <w:pPr>
      <w:numPr>
        <w:ilvl w:val="8"/>
        <w:numId w:val="1"/>
      </w:numPr>
      <w:spacing w:before="60" w:after="60"/>
      <w:outlineLvl w:val="8"/>
    </w:pPr>
    <w:rPr>
      <w:b/>
      <w:bCs/>
      <w:sz w:val="21"/>
      <w:szCs w:val="21"/>
    </w:rPr>
  </w:style>
  <w:style w:type="numbering" w:styleId="Numbering123">
    <w:name w:val="Numbering 123"/>
    <w:qFormat/>
  </w:style>
  <w:style w:type="numbering" w:styleId="NumberingABC">
    <w:name w:val="Numbering ABC"/>
    <w:qFormat/>
  </w:style>
  <w:style w:type="numbering" w:styleId="Numberingabc1">
    <w:name w:val="Numbering abc"/>
    <w:qFormat/>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 w:type="numbering" w:styleId="Numbering5">
    <w:name w:val="Numbering 5"/>
    <w:qFormat/>
  </w:style>
  <w:style w:type="numbering" w:styleId="SUB">
    <w:name w:val="SUB"/>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chmit-bw.de/jugend-trainiert/olympia/tenni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2463</TotalTime>
  <Application>LibreOffice/6.0.5.2$MacOSX_X86_64 LibreOffice_project/54c8cbb85f300ac59db32fe8a675ff7683cd5a16</Application>
  <Pages>4</Pages>
  <Words>1130</Words>
  <Characters>6930</Characters>
  <CharactersWithSpaces>7961</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2021-07-19T09:04:48Z</dcterms:modified>
  <cp:revision>62</cp:revision>
  <dc:subject/>
  <dc:title/>
</cp:coreProperties>
</file>